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黑体" w:hAnsi="黑体" w:eastAsia="黑体"/>
          <w:sz w:val="28"/>
          <w:szCs w:val="28"/>
        </w:rPr>
      </w:pPr>
    </w:p>
    <w:p>
      <w:pPr>
        <w:spacing w:line="380" w:lineRule="exact"/>
        <w:jc w:val="center"/>
        <w:rPr>
          <w:rFonts w:ascii="黑体" w:hAnsi="黑体" w:eastAsia="黑体"/>
          <w:sz w:val="32"/>
          <w:szCs w:val="32"/>
        </w:rPr>
      </w:pPr>
      <w:r>
        <w:rPr>
          <w:rFonts w:hint="eastAsia" w:ascii="黑体" w:hAnsi="黑体" w:eastAsia="黑体"/>
          <w:sz w:val="32"/>
          <w:szCs w:val="32"/>
        </w:rPr>
        <w:t>湖南科技学院博士教授引进待遇及条件一览表（以文件为准）</w:t>
      </w:r>
    </w:p>
    <w:tbl>
      <w:tblPr>
        <w:tblStyle w:val="6"/>
        <w:tblW w:w="1017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51"/>
        <w:gridCol w:w="2835"/>
        <w:gridCol w:w="269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jc w:val="center"/>
              <w:rPr>
                <w:rFonts w:ascii="黑体" w:hAnsi="黑体" w:eastAsia="黑体"/>
                <w:szCs w:val="21"/>
              </w:rPr>
            </w:pPr>
            <w:r>
              <w:rPr>
                <w:rFonts w:hint="eastAsia" w:ascii="黑体" w:hAnsi="黑体" w:eastAsia="黑体"/>
                <w:szCs w:val="21"/>
              </w:rPr>
              <w:t>待遇类别</w:t>
            </w:r>
          </w:p>
        </w:tc>
        <w:tc>
          <w:tcPr>
            <w:tcW w:w="2051" w:type="dxa"/>
            <w:vAlign w:val="center"/>
          </w:tcPr>
          <w:p>
            <w:pPr>
              <w:spacing w:line="260" w:lineRule="exact"/>
              <w:jc w:val="center"/>
              <w:rPr>
                <w:rFonts w:ascii="黑体" w:hAnsi="黑体" w:eastAsia="黑体"/>
                <w:szCs w:val="21"/>
              </w:rPr>
            </w:pPr>
            <w:r>
              <w:rPr>
                <w:rFonts w:hint="eastAsia" w:ascii="黑体" w:hAnsi="黑体" w:eastAsia="黑体"/>
                <w:szCs w:val="21"/>
              </w:rPr>
              <w:t>领军人才</w:t>
            </w:r>
          </w:p>
        </w:tc>
        <w:tc>
          <w:tcPr>
            <w:tcW w:w="2835" w:type="dxa"/>
            <w:vAlign w:val="center"/>
          </w:tcPr>
          <w:p>
            <w:pPr>
              <w:spacing w:line="260" w:lineRule="exact"/>
              <w:jc w:val="center"/>
              <w:rPr>
                <w:rFonts w:ascii="黑体" w:hAnsi="黑体" w:eastAsia="黑体"/>
                <w:szCs w:val="21"/>
              </w:rPr>
            </w:pPr>
            <w:r>
              <w:rPr>
                <w:rFonts w:hint="eastAsia" w:ascii="黑体" w:hAnsi="黑体" w:eastAsia="黑体"/>
                <w:szCs w:val="21"/>
              </w:rPr>
              <w:t>学科带头人</w:t>
            </w:r>
          </w:p>
        </w:tc>
        <w:tc>
          <w:tcPr>
            <w:tcW w:w="2693" w:type="dxa"/>
            <w:vAlign w:val="center"/>
          </w:tcPr>
          <w:p>
            <w:pPr>
              <w:spacing w:line="260" w:lineRule="exact"/>
              <w:jc w:val="center"/>
              <w:rPr>
                <w:rFonts w:ascii="黑体" w:hAnsi="黑体" w:eastAsia="黑体"/>
                <w:szCs w:val="21"/>
              </w:rPr>
            </w:pPr>
            <w:r>
              <w:rPr>
                <w:rFonts w:hint="eastAsia" w:ascii="黑体" w:hAnsi="黑体" w:eastAsia="黑体"/>
                <w:szCs w:val="21"/>
              </w:rPr>
              <w:t>学术带头人</w:t>
            </w:r>
          </w:p>
        </w:tc>
        <w:tc>
          <w:tcPr>
            <w:tcW w:w="1417" w:type="dxa"/>
            <w:vAlign w:val="center"/>
          </w:tcPr>
          <w:p>
            <w:pPr>
              <w:spacing w:line="260" w:lineRule="exact"/>
              <w:rPr>
                <w:rFonts w:ascii="黑体" w:hAnsi="黑体" w:eastAsia="黑体"/>
                <w:szCs w:val="21"/>
              </w:rPr>
            </w:pPr>
            <w:r>
              <w:rPr>
                <w:rFonts w:hint="eastAsia" w:ascii="黑体" w:hAnsi="黑体" w:eastAsia="黑体"/>
                <w:szCs w:val="21"/>
              </w:rPr>
              <w:t>其他高水平人才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jc w:val="center"/>
              <w:rPr>
                <w:rFonts w:ascii="黑体" w:hAnsi="黑体" w:eastAsia="黑体" w:cs="宋体"/>
                <w:kern w:val="0"/>
                <w:szCs w:val="21"/>
              </w:rPr>
            </w:pPr>
            <w:r>
              <w:rPr>
                <w:rFonts w:hint="eastAsia" w:ascii="黑体" w:hAnsi="黑体" w:eastAsia="黑体" w:cs="宋体"/>
                <w:kern w:val="0"/>
                <w:szCs w:val="21"/>
              </w:rPr>
              <w:t>安家费</w:t>
            </w:r>
          </w:p>
        </w:tc>
        <w:tc>
          <w:tcPr>
            <w:tcW w:w="2051" w:type="dxa"/>
            <w:vAlign w:val="center"/>
          </w:tcPr>
          <w:p>
            <w:pPr>
              <w:spacing w:line="260" w:lineRule="exact"/>
              <w:jc w:val="center"/>
              <w:rPr>
                <w:rFonts w:ascii="宋体" w:hAnsi="宋体" w:eastAsia="宋体" w:cs="华文仿宋"/>
                <w:szCs w:val="21"/>
              </w:rPr>
            </w:pPr>
            <w:r>
              <w:rPr>
                <w:rFonts w:hint="eastAsia" w:ascii="宋体" w:hAnsi="宋体" w:eastAsia="宋体" w:cs="华文仿宋"/>
                <w:kern w:val="0"/>
                <w:szCs w:val="21"/>
              </w:rPr>
              <w:t>100～200万</w:t>
            </w:r>
          </w:p>
        </w:tc>
        <w:tc>
          <w:tcPr>
            <w:tcW w:w="2835" w:type="dxa"/>
            <w:vAlign w:val="center"/>
          </w:tcPr>
          <w:p>
            <w:pPr>
              <w:spacing w:line="260" w:lineRule="exact"/>
              <w:jc w:val="center"/>
              <w:rPr>
                <w:rFonts w:ascii="宋体" w:hAnsi="宋体" w:eastAsia="宋体"/>
                <w:szCs w:val="21"/>
              </w:rPr>
            </w:pPr>
            <w:r>
              <w:rPr>
                <w:rFonts w:hint="eastAsia" w:ascii="宋体" w:hAnsi="宋体" w:eastAsia="宋体" w:cs="华文仿宋"/>
                <w:kern w:val="0"/>
                <w:szCs w:val="21"/>
              </w:rPr>
              <w:t>50～80万</w:t>
            </w:r>
          </w:p>
        </w:tc>
        <w:tc>
          <w:tcPr>
            <w:tcW w:w="2693" w:type="dxa"/>
            <w:vAlign w:val="center"/>
          </w:tcPr>
          <w:p>
            <w:pPr>
              <w:spacing w:line="260" w:lineRule="exact"/>
              <w:jc w:val="center"/>
              <w:rPr>
                <w:rFonts w:ascii="宋体" w:hAnsi="宋体" w:eastAsia="宋体"/>
                <w:szCs w:val="21"/>
              </w:rPr>
            </w:pPr>
            <w:r>
              <w:rPr>
                <w:rFonts w:hint="eastAsia" w:ascii="宋体" w:hAnsi="宋体" w:eastAsia="宋体" w:cs="华文仿宋"/>
                <w:kern w:val="0"/>
                <w:szCs w:val="21"/>
              </w:rPr>
              <w:t>20～50万</w:t>
            </w:r>
          </w:p>
        </w:tc>
        <w:tc>
          <w:tcPr>
            <w:tcW w:w="1417" w:type="dxa"/>
            <w:vAlign w:val="center"/>
          </w:tcPr>
          <w:p>
            <w:pPr>
              <w:spacing w:line="260" w:lineRule="exact"/>
              <w:jc w:val="center"/>
              <w:rPr>
                <w:rFonts w:ascii="宋体" w:hAnsi="宋体" w:eastAsia="宋体"/>
                <w:szCs w:val="21"/>
              </w:rPr>
            </w:pPr>
            <w:r>
              <w:rPr>
                <w:rFonts w:hint="eastAsia" w:ascii="宋体" w:hAnsi="宋体" w:eastAsia="宋体" w:cs="华文仿宋"/>
                <w:kern w:val="0"/>
                <w:szCs w:val="21"/>
              </w:rPr>
              <w:t>12～32万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rPr>
                <w:rFonts w:ascii="黑体" w:hAnsi="黑体" w:eastAsia="黑体" w:cs="宋体"/>
                <w:kern w:val="0"/>
                <w:szCs w:val="21"/>
              </w:rPr>
            </w:pPr>
            <w:r>
              <w:rPr>
                <w:rFonts w:hint="eastAsia" w:ascii="黑体" w:hAnsi="黑体" w:eastAsia="黑体" w:cs="宋体"/>
                <w:kern w:val="0"/>
                <w:szCs w:val="21"/>
              </w:rPr>
              <w:t>科研启动费/实验室建设费（据需要）</w:t>
            </w:r>
          </w:p>
        </w:tc>
        <w:tc>
          <w:tcPr>
            <w:tcW w:w="2051"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科研启动费20～50万。实验室建设费自科类300万，社科类100万</w:t>
            </w:r>
          </w:p>
        </w:tc>
        <w:tc>
          <w:tcPr>
            <w:tcW w:w="2835"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科研启动费自科类15～20万，社科类10～15万。实验室建设费自科类100万，社科类50万</w:t>
            </w:r>
          </w:p>
        </w:tc>
        <w:tc>
          <w:tcPr>
            <w:tcW w:w="2693"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科研启动费自科类10～15万，社科类6～10万。实验室建设费自科类50万，社科类20万</w:t>
            </w:r>
          </w:p>
        </w:tc>
        <w:tc>
          <w:tcPr>
            <w:tcW w:w="1417"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科研启动费自科类10万，社科类5万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家属/子女安置</w:t>
            </w:r>
          </w:p>
        </w:tc>
        <w:tc>
          <w:tcPr>
            <w:tcW w:w="2051" w:type="dxa"/>
            <w:vAlign w:val="center"/>
          </w:tcPr>
          <w:p>
            <w:pPr>
              <w:spacing w:line="260" w:lineRule="exact"/>
              <w:rPr>
                <w:rFonts w:ascii="宋体" w:hAnsi="宋体" w:eastAsia="宋体"/>
                <w:szCs w:val="21"/>
              </w:rPr>
            </w:pPr>
            <w:r>
              <w:rPr>
                <w:rFonts w:hint="eastAsia" w:ascii="宋体" w:hAnsi="宋体" w:eastAsia="宋体" w:cs="华文仿宋"/>
                <w:kern w:val="0"/>
                <w:szCs w:val="21"/>
              </w:rPr>
              <w:t>安排身心健康的配偶或子女1人，与引进者同进出；如不需安排，追加住房补贴和安家费8万</w:t>
            </w:r>
          </w:p>
        </w:tc>
        <w:tc>
          <w:tcPr>
            <w:tcW w:w="2835" w:type="dxa"/>
            <w:vAlign w:val="center"/>
          </w:tcPr>
          <w:p>
            <w:pPr>
              <w:spacing w:line="260" w:lineRule="exact"/>
              <w:rPr>
                <w:rFonts w:ascii="宋体" w:hAnsi="宋体" w:eastAsia="宋体"/>
                <w:szCs w:val="21"/>
              </w:rPr>
            </w:pPr>
            <w:r>
              <w:rPr>
                <w:rFonts w:hint="eastAsia" w:ascii="宋体" w:hAnsi="宋体" w:eastAsia="宋体" w:cs="华文仿宋"/>
                <w:kern w:val="0"/>
                <w:szCs w:val="21"/>
              </w:rPr>
              <w:t>安排身心健康的配偶或子女1人，与引进者同进出；如不需安排，追加住房补贴和安家费8万</w:t>
            </w:r>
          </w:p>
        </w:tc>
        <w:tc>
          <w:tcPr>
            <w:tcW w:w="2693" w:type="dxa"/>
            <w:vAlign w:val="center"/>
          </w:tcPr>
          <w:p>
            <w:pPr>
              <w:widowControl/>
              <w:spacing w:line="260" w:lineRule="exact"/>
              <w:rPr>
                <w:rFonts w:ascii="宋体" w:hAnsi="宋体" w:eastAsia="宋体"/>
                <w:szCs w:val="21"/>
              </w:rPr>
            </w:pPr>
            <w:r>
              <w:rPr>
                <w:rFonts w:hint="eastAsia" w:ascii="宋体" w:hAnsi="宋体" w:eastAsia="宋体" w:cs="华文仿宋"/>
                <w:kern w:val="0"/>
                <w:szCs w:val="21"/>
              </w:rPr>
              <w:t>视情况安排配偶，与引进者同进出；如不需安排，追加住房补贴和安家费8万</w:t>
            </w:r>
          </w:p>
        </w:tc>
        <w:tc>
          <w:tcPr>
            <w:tcW w:w="1417" w:type="dxa"/>
            <w:vAlign w:val="center"/>
          </w:tcPr>
          <w:p>
            <w:pPr>
              <w:spacing w:line="260" w:lineRule="exact"/>
              <w:rPr>
                <w:rFonts w:ascii="宋体" w:hAnsi="宋体" w:eastAsia="宋体"/>
                <w:szCs w:val="21"/>
              </w:rPr>
            </w:pPr>
            <w:r>
              <w:rPr>
                <w:rFonts w:hint="eastAsia" w:ascii="宋体" w:hAnsi="宋体" w:eastAsia="宋体" w:cs="华文仿宋"/>
                <w:kern w:val="0"/>
                <w:szCs w:val="21"/>
              </w:rPr>
              <w:t>视情况安排配偶，与引进者同进出；如不需安排，追加住房补贴和安家费8万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工作津贴和办公室</w:t>
            </w:r>
          </w:p>
        </w:tc>
        <w:tc>
          <w:tcPr>
            <w:tcW w:w="2051"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年工作津贴10～30万元。配独立办公室</w:t>
            </w:r>
          </w:p>
        </w:tc>
        <w:tc>
          <w:tcPr>
            <w:tcW w:w="2835"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配博士教授工作室</w:t>
            </w:r>
          </w:p>
        </w:tc>
        <w:tc>
          <w:tcPr>
            <w:tcW w:w="2693"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配博士教授工作室</w:t>
            </w:r>
          </w:p>
        </w:tc>
        <w:tc>
          <w:tcPr>
            <w:tcW w:w="1417"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配博士教授工作室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8"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基本待遇</w:t>
            </w:r>
          </w:p>
        </w:tc>
        <w:tc>
          <w:tcPr>
            <w:tcW w:w="8996" w:type="dxa"/>
            <w:gridSpan w:val="4"/>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 xml:space="preserve"> </w:t>
            </w:r>
            <w:r>
              <w:rPr>
                <w:rFonts w:hint="eastAsia" w:ascii="宋体" w:hAnsi="宋体" w:eastAsia="宋体" w:cs="华文仿宋"/>
                <w:color w:val="FF0000"/>
                <w:kern w:val="0"/>
                <w:szCs w:val="21"/>
              </w:rPr>
              <w:t xml:space="preserve"> </w:t>
            </w:r>
            <w:r>
              <w:rPr>
                <w:rFonts w:hint="eastAsia" w:ascii="宋体" w:hAnsi="宋体" w:eastAsia="宋体" w:cs="华文仿宋"/>
                <w:color w:val="000000" w:themeColor="text1"/>
                <w:kern w:val="0"/>
                <w:szCs w:val="21"/>
                <w14:textFill>
                  <w14:solidFill>
                    <w14:schemeClr w14:val="tx1"/>
                  </w14:solidFill>
                </w14:textFill>
              </w:rPr>
              <w:t>1.无职称的博士起薪10万元/年，有副高职称的博士起薪13万/年，四级教授起薪16万元/年。2.对引进人才，提供校内周转房一套（无产权，服务期内免房租）。3.博士研究生进校当年直接认定为讲师，具备讲师任职资格2年后可申报副教授职称。4.博士研究生首聘期内前五年享受副教授七级绩效工资；有副高职称的博士研究生首聘期内前五年享受教授四级绩效工资；绩效工资逐年普调外，还随在校工作年限增长而增加。5.引进的正高职称人员和博士在服务期内享受教授博士特殊津贴：博士1500元/月、教授1800元/月、博士教授2000元/月。6.服务期内工作任务之外获国家自科基金面上项目或国家社科基金一般课题1项，除按学校政策给予配套科研经费外，另追加安家费20万元。7.有一年及以上国外就学或工作经历者，条件可适当放宽，待遇可适当提高。8.三人以上博士或教授学科团队引进，待遇和工作任务面议。9.终年免费上网。10.工作日提供免费中餐。11.科研成果有奖励，报课题有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7"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基本条件</w:t>
            </w:r>
          </w:p>
        </w:tc>
        <w:tc>
          <w:tcPr>
            <w:tcW w:w="2051"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年龄一般在60岁以下，国家重点学科学术带头人、国家杰出或优秀青年科学基金获得者、“芙蓉学者”及相当层次人才。</w:t>
            </w:r>
          </w:p>
        </w:tc>
        <w:tc>
          <w:tcPr>
            <w:tcW w:w="2835" w:type="dxa"/>
            <w:vAlign w:val="center"/>
          </w:tcPr>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年龄在50岁以下，具有教授职称或博士学历学位且具备下列条件之一：</w:t>
            </w:r>
          </w:p>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1.省级重点学科带头人。2.原“985”或“211”大学的博士生导师。3.省级优秀专家，并获得省自</w:t>
            </w:r>
            <w:bookmarkStart w:id="0" w:name="_GoBack"/>
            <w:bookmarkEnd w:id="0"/>
            <w:r>
              <w:rPr>
                <w:rFonts w:hint="eastAsia" w:ascii="宋体" w:hAnsi="宋体" w:eastAsia="宋体" w:cs="华文仿宋"/>
                <w:color w:val="auto"/>
                <w:kern w:val="0"/>
                <w:szCs w:val="21"/>
              </w:rPr>
              <w:t>然科学奖、省科技发明奖和省科技进步奖一等奖排名前3名，二等奖排名第1名。4.省级“121”人才工程第一层次人选。5.近5年主持过国家自科基金面上项目、国家社科基金项目、教育部人文社科基金项目、省级重大项目的中青年专家。6.近五年以第一作者身份理工科在SCI、EI、SSCI源刊发表论文5篇，文科在CSSCI源刊发表论文7篇，艺术类学科在本专业一级学会主办的刊物上发表论文4篇。</w:t>
            </w:r>
          </w:p>
        </w:tc>
        <w:tc>
          <w:tcPr>
            <w:tcW w:w="2693" w:type="dxa"/>
            <w:vAlign w:val="center"/>
          </w:tcPr>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年龄在40岁以下，原985、211大学具有博士学位的副教授；年龄在40岁以下具有博士学历学位者或年龄在45岁以下非博士学位的正高职称人员，且近五年具备下列条件之一：</w:t>
            </w:r>
          </w:p>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1.主持省级科研课题2项及以上；或获得省部级及以上科研或教学成果一等奖排名前5名、二等奖排名前3名、三等奖排名第1名；或个人（排名第一）创作作品获国家级（政府）三等奖及以上。2.以第一作者身份在CSCD源刊或CSSCI源刊上发表论文4篇及以上；或在SCI、EI、SSCI源刊发表论文3篇及以上。3.以第一申请者身份获得国家授权的发明专利2项及以上。</w:t>
            </w:r>
          </w:p>
        </w:tc>
        <w:tc>
          <w:tcPr>
            <w:tcW w:w="1417" w:type="dxa"/>
            <w:vAlign w:val="center"/>
          </w:tcPr>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年龄一般在40岁以下，教学、科研能力较强的具有博士学历学位者；年龄一般在45岁以下非博士学位的大学正高职称人员；年龄一般在50岁以下，大中型企业或新技术新兴产业的总经理、高级工程师、技能型资深专家等。</w:t>
            </w:r>
          </w:p>
        </w:tc>
      </w:tr>
    </w:tbl>
    <w:p>
      <w:pPr>
        <w:ind w:firstLine="8610" w:firstLineChars="4100"/>
        <w:rPr>
          <w:rFonts w:ascii="宋体" w:hAnsi="宋体" w:eastAsia="宋体" w:cs="华文仿宋"/>
          <w:color w:val="FF0000"/>
          <w:szCs w:val="21"/>
        </w:rPr>
      </w:pPr>
    </w:p>
    <w:sectPr>
      <w:pgSz w:w="11906" w:h="16838"/>
      <w:pgMar w:top="1077" w:right="851" w:bottom="107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AD"/>
    <w:rsid w:val="00047D08"/>
    <w:rsid w:val="0006396B"/>
    <w:rsid w:val="000E2773"/>
    <w:rsid w:val="000F6DAD"/>
    <w:rsid w:val="00180AE2"/>
    <w:rsid w:val="001A25C8"/>
    <w:rsid w:val="002513F8"/>
    <w:rsid w:val="002527F9"/>
    <w:rsid w:val="00281AAD"/>
    <w:rsid w:val="002B4897"/>
    <w:rsid w:val="002B5BAF"/>
    <w:rsid w:val="002C7CCD"/>
    <w:rsid w:val="002E1405"/>
    <w:rsid w:val="00333880"/>
    <w:rsid w:val="00335592"/>
    <w:rsid w:val="003A4C2D"/>
    <w:rsid w:val="003F3F55"/>
    <w:rsid w:val="00484F65"/>
    <w:rsid w:val="00590396"/>
    <w:rsid w:val="005A51F4"/>
    <w:rsid w:val="005B47E2"/>
    <w:rsid w:val="00627546"/>
    <w:rsid w:val="006D1D60"/>
    <w:rsid w:val="007A297E"/>
    <w:rsid w:val="007C400E"/>
    <w:rsid w:val="007D4000"/>
    <w:rsid w:val="00840676"/>
    <w:rsid w:val="009F2E21"/>
    <w:rsid w:val="00A158AE"/>
    <w:rsid w:val="00A93FFF"/>
    <w:rsid w:val="00AE4921"/>
    <w:rsid w:val="00B61D9F"/>
    <w:rsid w:val="00C627A3"/>
    <w:rsid w:val="00D67C80"/>
    <w:rsid w:val="00EC460C"/>
    <w:rsid w:val="01DC61B7"/>
    <w:rsid w:val="065F321B"/>
    <w:rsid w:val="20B105A0"/>
    <w:rsid w:val="234F40A2"/>
    <w:rsid w:val="254F22A6"/>
    <w:rsid w:val="25BB483A"/>
    <w:rsid w:val="270A52E4"/>
    <w:rsid w:val="280D5750"/>
    <w:rsid w:val="2AF66A29"/>
    <w:rsid w:val="2F4627E3"/>
    <w:rsid w:val="31187212"/>
    <w:rsid w:val="3E8E6937"/>
    <w:rsid w:val="4E9B2FB8"/>
    <w:rsid w:val="53A14577"/>
    <w:rsid w:val="65A57796"/>
    <w:rsid w:val="6BF274C5"/>
    <w:rsid w:val="6F5A3085"/>
    <w:rsid w:val="70ED22CC"/>
    <w:rsid w:val="755B4E18"/>
    <w:rsid w:val="7576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日期 Char"/>
    <w:basedOn w:val="5"/>
    <w:link w:val="2"/>
    <w:semiHidden/>
    <w:qFormat/>
    <w:uiPriority w:val="99"/>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239</Words>
  <Characters>1364</Characters>
  <Lines>11</Lines>
  <Paragraphs>3</Paragraphs>
  <TotalTime>12</TotalTime>
  <ScaleCrop>false</ScaleCrop>
  <LinksUpToDate>false</LinksUpToDate>
  <CharactersWithSpaces>1600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2017-05-08T23:30:00Z</dcterms:created>
  <dc:creator>User</dc:creator>
  <cp:lastModifiedBy>Administrator</cp:lastModifiedBy>
  <cp:lastPrinted>2017-06-09T08:50:00Z</cp:lastPrinted>
  <dcterms:modified xsi:type="dcterms:W3CDTF">2018-11-10T02:00:38Z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